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6B" w:rsidRDefault="005D1B26">
      <w:r>
        <w:rPr>
          <w:rFonts w:hint="eastAsia"/>
        </w:rPr>
        <w:t>附件2</w:t>
      </w:r>
    </w:p>
    <w:p w:rsidR="005D1B26" w:rsidRDefault="005D1B26" w:rsidP="005D1B26">
      <w:pPr>
        <w:jc w:val="center"/>
        <w:rPr>
          <w:rFonts w:ascii="方正小标宋简体" w:eastAsia="方正小标宋简体"/>
          <w:sz w:val="28"/>
        </w:rPr>
      </w:pPr>
      <w:r w:rsidRPr="005D1B26">
        <w:rPr>
          <w:rFonts w:ascii="方正小标宋简体" w:eastAsia="方正小标宋简体" w:hint="eastAsia"/>
          <w:sz w:val="28"/>
        </w:rPr>
        <w:t>结题</w:t>
      </w:r>
      <w:r>
        <w:rPr>
          <w:rFonts w:ascii="方正小标宋简体" w:eastAsia="方正小标宋简体" w:hint="eastAsia"/>
          <w:sz w:val="28"/>
        </w:rPr>
        <w:t>验收</w:t>
      </w:r>
      <w:r w:rsidRPr="005D1B26">
        <w:rPr>
          <w:rFonts w:ascii="方正小标宋简体" w:eastAsia="方正小标宋简体" w:hint="eastAsia"/>
          <w:sz w:val="28"/>
        </w:rPr>
        <w:t>结果一览表</w:t>
      </w:r>
    </w:p>
    <w:tbl>
      <w:tblPr>
        <w:tblW w:w="5000" w:type="pct"/>
        <w:shd w:val="clear" w:color="auto" w:fill="FFFFFF" w:themeFill="background1"/>
        <w:tblLook w:val="04A0" w:firstRow="1" w:lastRow="0" w:firstColumn="1" w:lastColumn="0" w:noHBand="0" w:noVBand="1"/>
      </w:tblPr>
      <w:tblGrid>
        <w:gridCol w:w="427"/>
        <w:gridCol w:w="1206"/>
        <w:gridCol w:w="1555"/>
        <w:gridCol w:w="3183"/>
        <w:gridCol w:w="913"/>
        <w:gridCol w:w="1330"/>
        <w:gridCol w:w="1122"/>
      </w:tblGrid>
      <w:tr w:rsidR="005D1B26" w:rsidRPr="00C9223D" w:rsidTr="001377D3">
        <w:trPr>
          <w:trHeight w:val="405"/>
        </w:trPr>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bookmarkStart w:id="0" w:name="_GoBack"/>
            <w:r w:rsidRPr="00C9223D">
              <w:rPr>
                <w:rFonts w:ascii="黑体" w:eastAsia="黑体" w:hAnsi="黑体" w:cs="宋体" w:hint="eastAsia"/>
                <w:color w:val="000000"/>
                <w:kern w:val="0"/>
                <w:sz w:val="20"/>
                <w:szCs w:val="20"/>
              </w:rPr>
              <w:t>序号</w:t>
            </w:r>
          </w:p>
        </w:tc>
        <w:tc>
          <w:tcPr>
            <w:tcW w:w="619" w:type="pct"/>
            <w:tcBorders>
              <w:top w:val="single" w:sz="4" w:space="0" w:color="auto"/>
              <w:left w:val="nil"/>
              <w:bottom w:val="nil"/>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项目编号</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项目类别</w:t>
            </w:r>
          </w:p>
        </w:tc>
        <w:tc>
          <w:tcPr>
            <w:tcW w:w="1635"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项目名称</w:t>
            </w:r>
          </w:p>
        </w:tc>
        <w:tc>
          <w:tcPr>
            <w:tcW w:w="46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项目负责人</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所在单位</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黑体" w:eastAsia="黑体" w:hAnsi="黑体" w:cs="宋体"/>
                <w:color w:val="000000"/>
                <w:kern w:val="0"/>
                <w:sz w:val="20"/>
                <w:szCs w:val="20"/>
              </w:rPr>
            </w:pPr>
            <w:r w:rsidRPr="00C9223D">
              <w:rPr>
                <w:rFonts w:ascii="黑体" w:eastAsia="黑体" w:hAnsi="黑体" w:cs="宋体" w:hint="eastAsia"/>
                <w:color w:val="000000"/>
                <w:kern w:val="0"/>
                <w:sz w:val="20"/>
                <w:szCs w:val="20"/>
              </w:rPr>
              <w:t>评审结果</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2014XT001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协同育人平台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 xml:space="preserve"> “逸仙新华班”人才培养机制改革+公共基础课教学改革</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王栋慧</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教务处</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2014XT002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协同育人平台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中大新华校内、校际、校企教学科研融合协同育人平台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衣杨</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通过</w:t>
            </w:r>
          </w:p>
        </w:tc>
      </w:tr>
      <w:tr w:rsidR="005D1B26" w:rsidRPr="00C9223D" w:rsidTr="001377D3">
        <w:trPr>
          <w:trHeight w:val="467"/>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2014XT003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协同育人平台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护理专业协同育人平台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王秀岚</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护理学院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通过</w:t>
            </w:r>
          </w:p>
        </w:tc>
      </w:tr>
      <w:tr w:rsidR="005D1B26" w:rsidRPr="00C9223D" w:rsidTr="001377D3">
        <w:trPr>
          <w:trHeight w:val="37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2015XT001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协同育人平台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财富网络运营协同育人平台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袁持平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通过</w:t>
            </w:r>
          </w:p>
        </w:tc>
      </w:tr>
      <w:tr w:rsidR="005D1B26" w:rsidRPr="00C9223D" w:rsidTr="001377D3">
        <w:trPr>
          <w:trHeight w:val="33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2015S002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实验教学示范中心</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财务与会计系实验教学中心</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李安兰</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33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2015S003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实验教学示范中心</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旅游管理专业实验教学示范中心</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李美云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64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2015D005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中山大学新华学院-广州赛意信息科技有限公司信息科学类实践教学基地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万智萍</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D4205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终止</w:t>
            </w:r>
          </w:p>
        </w:tc>
      </w:tr>
      <w:tr w:rsidR="005D1B26" w:rsidRPr="00C9223D" w:rsidTr="001377D3">
        <w:trPr>
          <w:trHeight w:val="61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8</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2015D006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中山大学新华学院-广州掌动智能科技有限公司软件工程类实践教学基地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张冬玲</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D4205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终止</w:t>
            </w:r>
          </w:p>
        </w:tc>
      </w:tr>
      <w:tr w:rsidR="005D1B26" w:rsidRPr="00C9223D" w:rsidTr="001377D3">
        <w:trPr>
          <w:trHeight w:val="64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9</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2015D007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广东莱恩医药学研究院有限公司-中山大学新华学院药学类实践教学基地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张素中</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2015D008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中山大学新华学院-东莞市第二人民法院法学实践教学基地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万娟娟</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法学院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76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11</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2015D009</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中山大学新华学院-善林（上海）金融信息服务有限公司广州分公司金融专业实践教学基地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周开国</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12</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中山大学新华学院-万联证券有限责任公司广州东风路营业部金融类实践教学基地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周开国</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13</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中山大学新华学院-广州市华奥供应链管理有限公司经济与贸易类实践教学基地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袁持平     吴喜龄</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14</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中山大学新华学院-广东省城乡规划设计研究院城乡规划实践教学基地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李玲</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资源与城乡规划系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15</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中山大学新华学院-广州亚城规划设计研究院有限公司城乡规划类实践教学基地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李玲</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资源与城乡规划系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中山大学新华学院-广州岭南电子商务产业园有限公司实践教学基地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李晶</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17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2015D017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中山大学新华学院-广州市高校毕业生就业指导中心实践教学基地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王光辉</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8F200A">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公共</w:t>
            </w:r>
            <w:r w:rsidR="008F200A" w:rsidRPr="00C9223D">
              <w:rPr>
                <w:rFonts w:ascii="等线" w:eastAsia="等线" w:hAnsi="等线" w:cs="宋体" w:hint="eastAsia"/>
                <w:kern w:val="0"/>
                <w:sz w:val="20"/>
                <w:szCs w:val="20"/>
              </w:rPr>
              <w:t>治理</w:t>
            </w:r>
            <w:r w:rsidRPr="00C9223D">
              <w:rPr>
                <w:rFonts w:ascii="等线" w:eastAsia="等线" w:hAnsi="等线" w:cs="宋体" w:hint="eastAsia"/>
                <w:kern w:val="0"/>
                <w:sz w:val="20"/>
                <w:szCs w:val="20"/>
              </w:rPr>
              <w:t>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FB2DC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r w:rsidR="005D1B26" w:rsidRPr="00C9223D">
              <w:rPr>
                <w:rFonts w:ascii="等线" w:eastAsia="等线" w:hAnsi="等线" w:cs="宋体" w:hint="eastAsia"/>
                <w:kern w:val="0"/>
                <w:sz w:val="20"/>
                <w:szCs w:val="20"/>
              </w:rPr>
              <w:t xml:space="preserve">　</w:t>
            </w:r>
          </w:p>
        </w:tc>
      </w:tr>
      <w:tr w:rsidR="005D1B26" w:rsidRPr="00C9223D" w:rsidTr="001377D3">
        <w:trPr>
          <w:trHeight w:val="510"/>
        </w:trPr>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lastRenderedPageBreak/>
              <w:t>18</w:t>
            </w: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2016D001</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大学生校外实践教学基地</w:t>
            </w:r>
          </w:p>
        </w:tc>
        <w:tc>
          <w:tcPr>
            <w:tcW w:w="1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天职国际会计师事务所——中山大学新华学院财会类专业实践教学基地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林源</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255"/>
        </w:trPr>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19</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2014Z003</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专业综合改革试点</w:t>
            </w:r>
          </w:p>
        </w:tc>
        <w:tc>
          <w:tcPr>
            <w:tcW w:w="1635"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金融工程</w:t>
            </w:r>
          </w:p>
        </w:tc>
        <w:tc>
          <w:tcPr>
            <w:tcW w:w="46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周开国</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经济与贸易学院</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2015T001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教学团队</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经济基础课程教学团队</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袁持平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408"/>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1</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2015T005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教学团队</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综合英语课程教学团队</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李贻</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外国语学院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399"/>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2015T006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教学团队</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药学专业教学团队</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陈家树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2014JP002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精品课程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经济学原理</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袁持平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29"/>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24</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2C2EB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kern w:val="0"/>
                <w:sz w:val="20"/>
                <w:szCs w:val="20"/>
              </w:rPr>
              <w:t>2016JP010</w:t>
            </w:r>
            <w:r w:rsidR="005D1B26" w:rsidRPr="00C9223D">
              <w:rPr>
                <w:rFonts w:ascii="等线" w:eastAsia="等线" w:hAnsi="等线" w:cs="宋体" w:hint="eastAsia"/>
                <w:kern w:val="0"/>
                <w:sz w:val="20"/>
                <w:szCs w:val="20"/>
              </w:rPr>
              <w:t xml:space="preserve">　</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精品课程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人力资源管理</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18"/>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2015ZD003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健康评估</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陈千</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护理学院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FB2DC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09"/>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26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2015ZD005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英语写作</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李明娇</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外国语学院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2015ZD007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文学评论与写作</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程露</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中国语言文学系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03"/>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2</w:t>
            </w:r>
            <w:r w:rsidR="00CD28B9" w:rsidRPr="00C9223D">
              <w:rPr>
                <w:rFonts w:ascii="等线" w:eastAsia="等线" w:hAnsi="等线" w:cs="宋体"/>
                <w:color w:val="000000"/>
                <w:kern w:val="0"/>
                <w:sz w:val="20"/>
                <w:szCs w:val="20"/>
              </w:rPr>
              <w:t>8</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2015ZD011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旅游管理信息系统</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李美云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FB2DC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r w:rsidR="005D1B26" w:rsidRPr="00C9223D">
              <w:rPr>
                <w:rFonts w:ascii="等线" w:eastAsia="等线" w:hAnsi="等线" w:cs="宋体" w:hint="eastAsia"/>
                <w:kern w:val="0"/>
                <w:sz w:val="20"/>
                <w:szCs w:val="20"/>
              </w:rPr>
              <w:t xml:space="preserve">　</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29</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公共关系学</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谭昆智</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公共</w:t>
            </w:r>
            <w:r w:rsidR="008F200A" w:rsidRPr="00C9223D">
              <w:rPr>
                <w:rFonts w:ascii="等线" w:eastAsia="等线" w:hAnsi="等线" w:cs="宋体" w:hint="eastAsia"/>
                <w:kern w:val="0"/>
                <w:sz w:val="20"/>
                <w:szCs w:val="20"/>
              </w:rPr>
              <w:t>治理</w:t>
            </w:r>
            <w:r w:rsidRPr="00C9223D">
              <w:rPr>
                <w:rFonts w:ascii="等线" w:eastAsia="等线" w:hAnsi="等线" w:cs="宋体" w:hint="eastAsia"/>
                <w:kern w:val="0"/>
                <w:sz w:val="20"/>
                <w:szCs w:val="20"/>
              </w:rPr>
              <w:t>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57"/>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30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预算会计</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陈文川</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1</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数字电路</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邱泽敏</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经济地理学</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唐波</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资源与城乡规划系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思想道德修养与法律基础</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付晶</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马克思主义学院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17"/>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4</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中国法制史</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陈华丽</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法学院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23"/>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消费者行为学</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王飞</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14"/>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注册会计师实务</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幸倞</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07"/>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2016ZD009</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管理会计</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梁经纬</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413"/>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3</w:t>
            </w:r>
            <w:r w:rsidR="00CD28B9" w:rsidRPr="00C9223D">
              <w:rPr>
                <w:rFonts w:ascii="等线" w:eastAsia="等线" w:hAnsi="等线" w:cs="宋体"/>
                <w:color w:val="000000"/>
                <w:kern w:val="0"/>
                <w:sz w:val="20"/>
                <w:szCs w:val="20"/>
              </w:rPr>
              <w:t>8</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2016ZD010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国际金融</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熊诗忠</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39</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2016ZD011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国际贸易实务</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廖倩</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2B66F5"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40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2016ZD012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国际贸易学</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黄高余</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25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r w:rsidR="00CD28B9" w:rsidRPr="00C9223D">
              <w:rPr>
                <w:rFonts w:ascii="等线" w:eastAsia="等线" w:hAnsi="等线" w:cs="宋体"/>
                <w:color w:val="000000"/>
                <w:kern w:val="0"/>
                <w:sz w:val="20"/>
                <w:szCs w:val="20"/>
              </w:rPr>
              <w:t>1</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2016ZD013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投资学</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孔岩</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42</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2016ZD014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重点课程</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难美项群课程—体育舞蹈</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许振刚</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公共基础课教学研究部</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Times New Roman" w:eastAsia="等线" w:hAnsi="Times New Roman" w:cs="Times New Roman"/>
                <w:kern w:val="0"/>
                <w:sz w:val="20"/>
                <w:szCs w:val="20"/>
              </w:rPr>
            </w:pPr>
            <w:r w:rsidRPr="00C9223D">
              <w:rPr>
                <w:rFonts w:ascii="Times New Roman" w:eastAsia="等线" w:hAnsi="Times New Roman" w:cs="Times New Roman"/>
                <w:kern w:val="0"/>
                <w:sz w:val="20"/>
                <w:szCs w:val="20"/>
              </w:rPr>
              <w:t>2014J018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应用型人才培养目标下的大学本科汉语言类课程教学改革研究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王惠</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中国语言文学系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B43590"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r w:rsidR="005D1B26" w:rsidRPr="00C9223D">
              <w:rPr>
                <w:rFonts w:ascii="等线" w:eastAsia="等线" w:hAnsi="等线" w:cs="宋体" w:hint="eastAsia"/>
                <w:kern w:val="0"/>
                <w:sz w:val="20"/>
                <w:szCs w:val="20"/>
              </w:rPr>
              <w:t xml:space="preserve">　</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lastRenderedPageBreak/>
              <w:t>4</w:t>
            </w:r>
            <w:r w:rsidR="00CD28B9" w:rsidRPr="00C9223D">
              <w:rPr>
                <w:rFonts w:ascii="等线" w:eastAsia="等线" w:hAnsi="等线" w:cs="宋体"/>
                <w:color w:val="000000"/>
                <w:kern w:val="0"/>
                <w:sz w:val="20"/>
                <w:szCs w:val="20"/>
              </w:rPr>
              <w:t>4</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Times New Roman" w:eastAsia="等线" w:hAnsi="Times New Roman" w:cs="Times New Roman"/>
                <w:kern w:val="0"/>
                <w:sz w:val="20"/>
                <w:szCs w:val="20"/>
              </w:rPr>
            </w:pPr>
            <w:r w:rsidRPr="00C9223D">
              <w:rPr>
                <w:rFonts w:ascii="Times New Roman" w:eastAsia="等线" w:hAnsi="Times New Roman" w:cs="Times New Roman"/>
                <w:kern w:val="0"/>
                <w:sz w:val="20"/>
                <w:szCs w:val="20"/>
              </w:rPr>
              <w:t>2014J026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护理科研课程TBL教学模式的构建及效果评价</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林丽娜</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护理学院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48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Calibri" w:eastAsia="等线" w:hAnsi="Calibri" w:cs="Calibri"/>
                <w:kern w:val="0"/>
                <w:sz w:val="20"/>
                <w:szCs w:val="20"/>
              </w:rPr>
            </w:pPr>
            <w:r w:rsidRPr="00C9223D">
              <w:rPr>
                <w:rFonts w:ascii="Calibri" w:eastAsia="等线" w:hAnsi="Calibri" w:cs="Calibri"/>
                <w:kern w:val="0"/>
                <w:sz w:val="20"/>
                <w:szCs w:val="20"/>
              </w:rPr>
              <w:t>2015J015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翻转课堂模式应用于临床营养学的必要性</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麦剑荣</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护理学院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Calibri" w:eastAsia="等线" w:hAnsi="Calibri" w:cs="Calibri"/>
                <w:kern w:val="0"/>
                <w:sz w:val="20"/>
                <w:szCs w:val="20"/>
              </w:rPr>
            </w:pPr>
            <w:r w:rsidRPr="00C9223D">
              <w:rPr>
                <w:rFonts w:ascii="Calibri" w:eastAsia="等线" w:hAnsi="Calibri" w:cs="Calibri"/>
                <w:kern w:val="0"/>
                <w:sz w:val="20"/>
                <w:szCs w:val="20"/>
              </w:rPr>
              <w:t>2015J012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PBL与TBL教学法在提升《马克思主义基本原理概论》课教学效果中的探索研究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谷曼</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马克思主义学院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FB2DC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r w:rsidR="005D1B26" w:rsidRPr="00C9223D">
              <w:rPr>
                <w:rFonts w:ascii="等线" w:eastAsia="等线" w:hAnsi="等线" w:cs="宋体" w:hint="eastAsia"/>
                <w:kern w:val="0"/>
                <w:sz w:val="20"/>
                <w:szCs w:val="20"/>
              </w:rPr>
              <w:t xml:space="preserve">　</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4</w:t>
            </w:r>
            <w:r w:rsidR="00CD28B9" w:rsidRPr="00C9223D">
              <w:rPr>
                <w:rFonts w:ascii="等线" w:eastAsia="等线" w:hAnsi="等线" w:cs="宋体"/>
                <w:color w:val="000000"/>
                <w:kern w:val="0"/>
                <w:sz w:val="20"/>
                <w:szCs w:val="20"/>
              </w:rPr>
              <w:t>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Calibri" w:eastAsia="等线" w:hAnsi="Calibri" w:cs="Calibri"/>
                <w:kern w:val="0"/>
                <w:sz w:val="20"/>
                <w:szCs w:val="20"/>
              </w:rPr>
            </w:pPr>
            <w:r w:rsidRPr="00C9223D">
              <w:rPr>
                <w:rFonts w:ascii="Calibri" w:eastAsia="等线" w:hAnsi="Calibri" w:cs="Calibri"/>
                <w:kern w:val="0"/>
                <w:sz w:val="20"/>
                <w:szCs w:val="20"/>
              </w:rPr>
              <w:t>2015J024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基于建构主义视角的独立学院管理类专业应用型人才培养模式探索与研究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孙张</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8F200A"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w:t>
            </w:r>
            <w:r w:rsidR="005D1B26" w:rsidRPr="00C9223D">
              <w:rPr>
                <w:rFonts w:ascii="等线" w:eastAsia="等线" w:hAnsi="等线" w:cs="宋体" w:hint="eastAsia"/>
                <w:kern w:val="0"/>
                <w:sz w:val="20"/>
                <w:szCs w:val="20"/>
              </w:rPr>
              <w:t>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48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48</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Calibri" w:eastAsia="等线" w:hAnsi="Calibri" w:cs="Calibri"/>
                <w:kern w:val="0"/>
                <w:sz w:val="20"/>
                <w:szCs w:val="20"/>
              </w:rPr>
            </w:pPr>
            <w:r w:rsidRPr="00C9223D">
              <w:rPr>
                <w:rFonts w:ascii="Calibri" w:eastAsia="等线" w:hAnsi="Calibri" w:cs="Calibri"/>
                <w:kern w:val="0"/>
                <w:sz w:val="20"/>
                <w:szCs w:val="20"/>
              </w:rPr>
              <w:t>2015J025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应用型大学创业教育模式研究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王烨</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37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49</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“四段式”激越学习教学法</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王庭槐</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校长办公室</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50</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独立学院心理健康教育课程中的PBL教学模式探索与实践</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李巍</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学生工作处</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r w:rsidR="00CD28B9" w:rsidRPr="00C9223D">
              <w:rPr>
                <w:rFonts w:ascii="等线" w:eastAsia="等线" w:hAnsi="等线" w:cs="宋体"/>
                <w:color w:val="000000"/>
                <w:kern w:val="0"/>
                <w:sz w:val="20"/>
                <w:szCs w:val="20"/>
              </w:rPr>
              <w:t>1</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PBL教学方法在双语教学中的应用——以《知识产权法》课程为例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李珊</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法学院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r w:rsidR="00CD28B9" w:rsidRPr="00C9223D">
              <w:rPr>
                <w:rFonts w:ascii="等线" w:eastAsia="等线" w:hAnsi="等线" w:cs="宋体"/>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国际性视野下的复合型法务人才培养研究——以《经济法》课程为例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谭宜桢</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法学院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LBL/CBL/PBL/TBL教学法在军事理论课程中的综合应用研究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廖平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法学院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54</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独立学院特点下的服装设计专业课程设置与改革研究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方曙</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艺术与传媒学院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55</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基于职业化发展的会计人才分层化培养模式研究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林源</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基于培养应用型人才的审计教学改革研究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陈艳芬</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5</w:t>
            </w:r>
            <w:r w:rsidR="00CD28B9" w:rsidRPr="00C9223D">
              <w:rPr>
                <w:rFonts w:ascii="等线" w:eastAsia="等线" w:hAnsi="等线" w:cs="宋体"/>
                <w:color w:val="000000"/>
                <w:kern w:val="0"/>
                <w:sz w:val="20"/>
                <w:szCs w:val="20"/>
              </w:rPr>
              <w:t>7</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2016J009</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项目教学法在《单证与函电》课程改革中的运用</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陈芳娌</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58</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《国际贸易实务》课程教学改革研究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廖倩</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59</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基于微视频的翻转课程教学模式设计研究——以《经济学原理》课程为例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张才华</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6</w:t>
            </w:r>
            <w:r w:rsidR="00CD28B9" w:rsidRPr="00C9223D">
              <w:rPr>
                <w:rFonts w:ascii="等线" w:eastAsia="等线" w:hAnsi="等线" w:cs="宋体"/>
                <w:color w:val="000000"/>
                <w:kern w:val="0"/>
                <w:sz w:val="20"/>
                <w:szCs w:val="20"/>
              </w:rPr>
              <w:t>0</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独立学院《线性代数》课程教学改革模式初探</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任阿娟</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61</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基于复合型人才培养目标下的《经济法》教学改革研究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徐永金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62</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经济统计学专业《市场调查》课程教学改革研究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王伟华</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6</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大数据时代下统计学课程R软件教学改革研究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万媛媛</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6</w:t>
            </w:r>
            <w:r w:rsidR="00CD28B9" w:rsidRPr="00C9223D">
              <w:rPr>
                <w:rFonts w:ascii="等线" w:eastAsia="等线" w:hAnsi="等线" w:cs="宋体"/>
                <w:color w:val="000000"/>
                <w:kern w:val="0"/>
                <w:sz w:val="20"/>
                <w:szCs w:val="20"/>
              </w:rPr>
              <w:t>4</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独立学院低碳经济交叉学科教学改革研究—以《低碳经济概论》为例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石洪艾</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经济与贸易学院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lastRenderedPageBreak/>
              <w:t>6</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“毛泽东思想和中国特色社会主义理论体系概论”课专题式教学改革与实践研究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包仕国</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马克思主义学院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6</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独立学院开展团体操课程的可行性研究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姜丽</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体育部</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67</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2016J019</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独立学院民族传统体育新课程研究——以A1+B2课程为例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体育部</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68</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以赛代练——电子商务大赛嵌入教学研究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罗泰晔</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D4205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终止</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69</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独立学院应用型人才《创新思维培养与实践》的课程设计研究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许冬梅</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70</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应用型院校《人力资源管理》课程实践教学体系构建研究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陈剑</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管理学学院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r w:rsidR="00CD28B9" w:rsidRPr="00C9223D">
              <w:rPr>
                <w:rFonts w:ascii="等线" w:eastAsia="等线" w:hAnsi="等线" w:cs="宋体"/>
                <w:color w:val="000000"/>
                <w:kern w:val="0"/>
                <w:sz w:val="20"/>
                <w:szCs w:val="20"/>
              </w:rPr>
              <w:t>1</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基于“翻转课堂”的公共关系教学“微课”建设</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唐嘉仪</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公共管理学院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延期</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r w:rsidR="00CD28B9" w:rsidRPr="00C9223D">
              <w:rPr>
                <w:rFonts w:ascii="等线" w:eastAsia="等线" w:hAnsi="等线" w:cs="宋体"/>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《创业管理》课程教学改革研究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陈静静</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2B66F5"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健康学院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2D79E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r w:rsidR="005D1B26" w:rsidRPr="00C9223D">
              <w:rPr>
                <w:rFonts w:ascii="等线" w:eastAsia="等线" w:hAnsi="等线" w:cs="宋体" w:hint="eastAsia"/>
                <w:kern w:val="0"/>
                <w:sz w:val="20"/>
                <w:szCs w:val="20"/>
              </w:rPr>
              <w:t xml:space="preserve">　</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SSP+模型的OSCE模式在妇产科护理学实践教学的应用</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黄洛莹</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护理学院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74</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2016J029</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整合资源，构筑专业特色鲜明的化学基础课群</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徐娟娟</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独立学院药学专业实验教学新模式的研究与构建</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张卫佳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39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7</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2016J031</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生物学一体化教学模式的改革研究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魏洁书</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药学院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8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77</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2016J032</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四段式教学法在生理学中的应用</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徐静婷</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生物医学工程学院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BB57E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78</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2016J033</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专业差异视角下独立学院课程体系优化——以《自然地理学》为例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陈静</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资源与城乡规划系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7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79</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2016J034</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新常态下独立院校规划设计教学研究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张媛媛</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资源与城乡规划系</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76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80</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2016J035</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“互联网+创业”背景下的本科应用型创新创业人才培养模式的研究与探索——以计算机科学与技术专业为例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邱泽敏</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76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81</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2016J036</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基于微课的混合教学模式下的网络技术认证课程的翻转课堂研究与探索——以《计算机网络》课程为例</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 xml:space="preserve">赵慧青   </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D4205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终止</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8</w:t>
            </w:r>
            <w:r w:rsidR="00CD28B9" w:rsidRPr="00C9223D">
              <w:rPr>
                <w:rFonts w:ascii="等线" w:eastAsia="等线" w:hAnsi="等线" w:cs="宋体"/>
                <w:color w:val="000000"/>
                <w:kern w:val="0"/>
                <w:sz w:val="20"/>
                <w:szCs w:val="20"/>
              </w:rPr>
              <w:t>2</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大数据环境下高校智慧移动学习平台与课堂教学融合的研究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潘志宏</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765"/>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8</w:t>
            </w:r>
            <w:r w:rsidR="00CD28B9" w:rsidRPr="00C9223D">
              <w:rPr>
                <w:rFonts w:ascii="等线" w:eastAsia="等线" w:hAnsi="等线" w:cs="宋体"/>
                <w:color w:val="000000"/>
                <w:kern w:val="0"/>
                <w:sz w:val="20"/>
                <w:szCs w:val="20"/>
              </w:rPr>
              <w:t>3</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2016J038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推动创新教育学分开展的大学生科研创新教育体系研究与探索——基于大学生创新创业训练计划项目</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王凤</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信息科学学院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63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8</w:t>
            </w:r>
            <w:r w:rsidR="00CD28B9" w:rsidRPr="00C9223D">
              <w:rPr>
                <w:rFonts w:ascii="等线" w:eastAsia="等线" w:hAnsi="等线" w:cs="宋体"/>
                <w:color w:val="000000"/>
                <w:kern w:val="0"/>
                <w:sz w:val="20"/>
                <w:szCs w:val="20"/>
              </w:rPr>
              <w:t>4</w:t>
            </w:r>
          </w:p>
        </w:tc>
        <w:tc>
          <w:tcPr>
            <w:tcW w:w="619" w:type="pct"/>
            <w:tcBorders>
              <w:top w:val="nil"/>
              <w:left w:val="nil"/>
              <w:bottom w:val="single" w:sz="4" w:space="0" w:color="auto"/>
              <w:right w:val="single" w:sz="4" w:space="0" w:color="auto"/>
            </w:tcBorders>
            <w:shd w:val="clear" w:color="auto" w:fill="FFFFFF" w:themeFill="background1"/>
            <w:noWrap/>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2016J040</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数字化教材在生理学教学中的应用</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徐静婷</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生物医学工程学院</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BB57EF"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A21F48" w:rsidRPr="00C9223D" w:rsidTr="001377D3">
        <w:trPr>
          <w:trHeight w:val="630"/>
        </w:trPr>
        <w:tc>
          <w:tcPr>
            <w:tcW w:w="219" w:type="pct"/>
            <w:tcBorders>
              <w:top w:val="nil"/>
              <w:left w:val="single" w:sz="4" w:space="0" w:color="auto"/>
              <w:bottom w:val="single" w:sz="4" w:space="0" w:color="auto"/>
              <w:right w:val="single" w:sz="4" w:space="0" w:color="auto"/>
            </w:tcBorders>
            <w:shd w:val="clear" w:color="auto" w:fill="FFFFFF" w:themeFill="background1"/>
            <w:vAlign w:val="center"/>
          </w:tcPr>
          <w:p w:rsidR="00A21F48" w:rsidRPr="00C9223D" w:rsidRDefault="00A21F48"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lastRenderedPageBreak/>
              <w:t>8</w:t>
            </w:r>
            <w:r w:rsidR="00CD28B9" w:rsidRPr="00C9223D">
              <w:rPr>
                <w:rFonts w:ascii="等线" w:eastAsia="等线" w:hAnsi="等线" w:cs="宋体"/>
                <w:color w:val="000000"/>
                <w:kern w:val="0"/>
                <w:sz w:val="20"/>
                <w:szCs w:val="20"/>
              </w:rPr>
              <w:t>5</w:t>
            </w:r>
          </w:p>
        </w:tc>
        <w:tc>
          <w:tcPr>
            <w:tcW w:w="619" w:type="pct"/>
            <w:tcBorders>
              <w:top w:val="nil"/>
              <w:left w:val="nil"/>
              <w:bottom w:val="single" w:sz="4" w:space="0" w:color="auto"/>
              <w:right w:val="single" w:sz="4" w:space="0" w:color="auto"/>
            </w:tcBorders>
            <w:shd w:val="clear" w:color="auto" w:fill="FFFFFF" w:themeFill="background1"/>
            <w:noWrap/>
            <w:vAlign w:val="center"/>
          </w:tcPr>
          <w:p w:rsidR="00A21F48" w:rsidRPr="00C9223D" w:rsidRDefault="00A21F48"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2017J028</w:t>
            </w:r>
          </w:p>
        </w:tc>
        <w:tc>
          <w:tcPr>
            <w:tcW w:w="799" w:type="pct"/>
            <w:tcBorders>
              <w:top w:val="nil"/>
              <w:left w:val="nil"/>
              <w:bottom w:val="single" w:sz="4" w:space="0" w:color="auto"/>
              <w:right w:val="single" w:sz="4" w:space="0" w:color="auto"/>
            </w:tcBorders>
            <w:shd w:val="clear" w:color="auto" w:fill="FFFFFF" w:themeFill="background1"/>
            <w:vAlign w:val="center"/>
          </w:tcPr>
          <w:p w:rsidR="00A21F48" w:rsidRPr="00C9223D" w:rsidRDefault="00A21F48"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tcPr>
          <w:p w:rsidR="00A21F48" w:rsidRPr="00C9223D" w:rsidRDefault="00A21F48"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 xml:space="preserve">基于互动式教学理念的案例教学创新研究   </w:t>
            </w:r>
          </w:p>
        </w:tc>
        <w:tc>
          <w:tcPr>
            <w:tcW w:w="469" w:type="pct"/>
            <w:tcBorders>
              <w:top w:val="nil"/>
              <w:left w:val="nil"/>
              <w:bottom w:val="single" w:sz="4" w:space="0" w:color="auto"/>
              <w:right w:val="single" w:sz="4" w:space="0" w:color="auto"/>
            </w:tcBorders>
            <w:shd w:val="clear" w:color="auto" w:fill="FFFFFF" w:themeFill="background1"/>
            <w:vAlign w:val="center"/>
          </w:tcPr>
          <w:p w:rsidR="00A21F48" w:rsidRPr="00C9223D" w:rsidRDefault="00A21F48"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彭俊英</w:t>
            </w:r>
          </w:p>
        </w:tc>
        <w:tc>
          <w:tcPr>
            <w:tcW w:w="683" w:type="pct"/>
            <w:tcBorders>
              <w:top w:val="nil"/>
              <w:left w:val="nil"/>
              <w:bottom w:val="single" w:sz="4" w:space="0" w:color="auto"/>
              <w:right w:val="single" w:sz="4" w:space="0" w:color="auto"/>
            </w:tcBorders>
            <w:shd w:val="clear" w:color="auto" w:fill="FFFFFF" w:themeFill="background1"/>
            <w:vAlign w:val="center"/>
          </w:tcPr>
          <w:p w:rsidR="00A21F48" w:rsidRPr="00C9223D" w:rsidRDefault="00A21F48"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会计学院</w:t>
            </w:r>
          </w:p>
        </w:tc>
        <w:tc>
          <w:tcPr>
            <w:tcW w:w="576" w:type="pct"/>
            <w:tcBorders>
              <w:top w:val="nil"/>
              <w:left w:val="nil"/>
              <w:bottom w:val="single" w:sz="4" w:space="0" w:color="auto"/>
              <w:right w:val="single" w:sz="4" w:space="0" w:color="auto"/>
            </w:tcBorders>
            <w:shd w:val="clear" w:color="auto" w:fill="FFFFFF" w:themeFill="background1"/>
            <w:vAlign w:val="center"/>
          </w:tcPr>
          <w:p w:rsidR="00A21F48" w:rsidRPr="00C9223D" w:rsidRDefault="002D79EB" w:rsidP="00A21F48">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C9223D"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5D1B26" w:rsidP="00CD28B9">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hint="eastAsia"/>
                <w:color w:val="000000"/>
                <w:kern w:val="0"/>
                <w:sz w:val="20"/>
                <w:szCs w:val="20"/>
              </w:rPr>
              <w:t>8</w:t>
            </w:r>
            <w:r w:rsidR="00CD28B9" w:rsidRPr="00C9223D">
              <w:rPr>
                <w:rFonts w:ascii="等线" w:eastAsia="等线" w:hAnsi="等线" w:cs="宋体"/>
                <w:color w:val="000000"/>
                <w:kern w:val="0"/>
                <w:sz w:val="20"/>
                <w:szCs w:val="20"/>
              </w:rPr>
              <w:t>6</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A21F48"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kern w:val="0"/>
                <w:sz w:val="20"/>
                <w:szCs w:val="20"/>
              </w:rPr>
              <w:t>2017J037</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教育发展新常态下高校创客培养模式的研究与探讨</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胡铁君</w:t>
            </w:r>
          </w:p>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李佳</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FABLAB中心</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tr w:rsidR="005D1B26" w:rsidRPr="005D1B26" w:rsidTr="001377D3">
        <w:trPr>
          <w:trHeight w:val="510"/>
        </w:trPr>
        <w:tc>
          <w:tcPr>
            <w:tcW w:w="219" w:type="pct"/>
            <w:tcBorders>
              <w:top w:val="nil"/>
              <w:left w:val="single" w:sz="4" w:space="0" w:color="auto"/>
              <w:bottom w:val="single" w:sz="4" w:space="0" w:color="auto"/>
              <w:right w:val="single" w:sz="4" w:space="0" w:color="auto"/>
            </w:tcBorders>
            <w:shd w:val="clear" w:color="auto" w:fill="FFFFFF" w:themeFill="background1"/>
            <w:vAlign w:val="center"/>
            <w:hideMark/>
          </w:tcPr>
          <w:p w:rsidR="005D1B26" w:rsidRPr="00C9223D" w:rsidRDefault="00CD28B9" w:rsidP="005D1B26">
            <w:pPr>
              <w:widowControl/>
              <w:spacing w:line="280" w:lineRule="exact"/>
              <w:jc w:val="center"/>
              <w:rPr>
                <w:rFonts w:ascii="等线" w:eastAsia="等线" w:hAnsi="等线" w:cs="宋体"/>
                <w:color w:val="000000"/>
                <w:kern w:val="0"/>
                <w:sz w:val="20"/>
                <w:szCs w:val="20"/>
              </w:rPr>
            </w:pPr>
            <w:r w:rsidRPr="00C9223D">
              <w:rPr>
                <w:rFonts w:ascii="等线" w:eastAsia="等线" w:hAnsi="等线" w:cs="宋体"/>
                <w:color w:val="000000"/>
                <w:kern w:val="0"/>
                <w:sz w:val="20"/>
                <w:szCs w:val="20"/>
              </w:rPr>
              <w:t>87</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A21F48"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kern w:val="0"/>
                <w:sz w:val="20"/>
                <w:szCs w:val="20"/>
              </w:rPr>
              <w:t>2017J038</w:t>
            </w:r>
          </w:p>
        </w:tc>
        <w:tc>
          <w:tcPr>
            <w:tcW w:w="79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高等教育教学改革项目</w:t>
            </w:r>
          </w:p>
        </w:tc>
        <w:tc>
          <w:tcPr>
            <w:tcW w:w="1635"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基于跨学科联结的信息教育模式的研究</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李伟林</w:t>
            </w:r>
          </w:p>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莫伟健</w:t>
            </w:r>
          </w:p>
        </w:tc>
        <w:tc>
          <w:tcPr>
            <w:tcW w:w="683" w:type="pct"/>
            <w:tcBorders>
              <w:top w:val="nil"/>
              <w:left w:val="nil"/>
              <w:bottom w:val="single" w:sz="4" w:space="0" w:color="auto"/>
              <w:right w:val="single" w:sz="4" w:space="0" w:color="auto"/>
            </w:tcBorders>
            <w:shd w:val="clear" w:color="auto" w:fill="FFFFFF" w:themeFill="background1"/>
            <w:vAlign w:val="center"/>
            <w:hideMark/>
          </w:tcPr>
          <w:p w:rsidR="005D1B26" w:rsidRPr="00C9223D" w:rsidRDefault="005D1B26"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FABLAB中心</w:t>
            </w:r>
          </w:p>
        </w:tc>
        <w:tc>
          <w:tcPr>
            <w:tcW w:w="576" w:type="pct"/>
            <w:tcBorders>
              <w:top w:val="nil"/>
              <w:left w:val="nil"/>
              <w:bottom w:val="single" w:sz="4" w:space="0" w:color="auto"/>
              <w:right w:val="single" w:sz="4" w:space="0" w:color="auto"/>
            </w:tcBorders>
            <w:shd w:val="clear" w:color="auto" w:fill="FFFFFF" w:themeFill="background1"/>
            <w:vAlign w:val="center"/>
            <w:hideMark/>
          </w:tcPr>
          <w:p w:rsidR="005D1B26" w:rsidRPr="005D1B26" w:rsidRDefault="002D79EB" w:rsidP="005D1B26">
            <w:pPr>
              <w:widowControl/>
              <w:spacing w:line="280" w:lineRule="exact"/>
              <w:jc w:val="center"/>
              <w:rPr>
                <w:rFonts w:ascii="等线" w:eastAsia="等线" w:hAnsi="等线" w:cs="宋体"/>
                <w:kern w:val="0"/>
                <w:sz w:val="20"/>
                <w:szCs w:val="20"/>
              </w:rPr>
            </w:pPr>
            <w:r w:rsidRPr="00C9223D">
              <w:rPr>
                <w:rFonts w:ascii="等线" w:eastAsia="等线" w:hAnsi="等线" w:cs="宋体" w:hint="eastAsia"/>
                <w:kern w:val="0"/>
                <w:sz w:val="20"/>
                <w:szCs w:val="20"/>
              </w:rPr>
              <w:t>通过</w:t>
            </w:r>
          </w:p>
        </w:tc>
      </w:tr>
      <w:bookmarkEnd w:id="0"/>
    </w:tbl>
    <w:p w:rsidR="005D1B26" w:rsidRPr="005D1B26" w:rsidRDefault="005D1B26" w:rsidP="005D1B26">
      <w:pPr>
        <w:spacing w:line="280" w:lineRule="exact"/>
        <w:rPr>
          <w:rFonts w:ascii="方正小标宋简体" w:eastAsia="方正小标宋简体"/>
          <w:sz w:val="20"/>
          <w:szCs w:val="20"/>
        </w:rPr>
      </w:pPr>
    </w:p>
    <w:sectPr w:rsidR="005D1B26" w:rsidRPr="005D1B26" w:rsidSect="005D1B2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3A" w:rsidRDefault="00157D3A" w:rsidP="00D4205F">
      <w:r>
        <w:separator/>
      </w:r>
    </w:p>
  </w:endnote>
  <w:endnote w:type="continuationSeparator" w:id="0">
    <w:p w:rsidR="00157D3A" w:rsidRDefault="00157D3A" w:rsidP="00D4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3A" w:rsidRDefault="00157D3A" w:rsidP="00D4205F">
      <w:r>
        <w:separator/>
      </w:r>
    </w:p>
  </w:footnote>
  <w:footnote w:type="continuationSeparator" w:id="0">
    <w:p w:rsidR="00157D3A" w:rsidRDefault="00157D3A" w:rsidP="00D42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26"/>
    <w:rsid w:val="000B6B98"/>
    <w:rsid w:val="001377D3"/>
    <w:rsid w:val="00157D3A"/>
    <w:rsid w:val="0024092D"/>
    <w:rsid w:val="002B66F5"/>
    <w:rsid w:val="002C2EB6"/>
    <w:rsid w:val="002D79EB"/>
    <w:rsid w:val="004708BD"/>
    <w:rsid w:val="005D1B26"/>
    <w:rsid w:val="008F200A"/>
    <w:rsid w:val="0090612F"/>
    <w:rsid w:val="00A21F48"/>
    <w:rsid w:val="00B43590"/>
    <w:rsid w:val="00BB57EF"/>
    <w:rsid w:val="00C603A1"/>
    <w:rsid w:val="00C9223D"/>
    <w:rsid w:val="00CD28B9"/>
    <w:rsid w:val="00D4205F"/>
    <w:rsid w:val="00D706F5"/>
    <w:rsid w:val="00E66CE9"/>
    <w:rsid w:val="00FB2DCB"/>
    <w:rsid w:val="00FE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BC6FA"/>
  <w15:chartTrackingRefBased/>
  <w15:docId w15:val="{F2E03C7C-8C71-45B7-8752-50AF11A6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0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205F"/>
    <w:rPr>
      <w:sz w:val="18"/>
      <w:szCs w:val="18"/>
    </w:rPr>
  </w:style>
  <w:style w:type="paragraph" w:styleId="a5">
    <w:name w:val="footer"/>
    <w:basedOn w:val="a"/>
    <w:link w:val="a6"/>
    <w:uiPriority w:val="99"/>
    <w:unhideWhenUsed/>
    <w:rsid w:val="00D4205F"/>
    <w:pPr>
      <w:tabs>
        <w:tab w:val="center" w:pos="4153"/>
        <w:tab w:val="right" w:pos="8306"/>
      </w:tabs>
      <w:snapToGrid w:val="0"/>
      <w:jc w:val="left"/>
    </w:pPr>
    <w:rPr>
      <w:sz w:val="18"/>
      <w:szCs w:val="18"/>
    </w:rPr>
  </w:style>
  <w:style w:type="character" w:customStyle="1" w:styleId="a6">
    <w:name w:val="页脚 字符"/>
    <w:basedOn w:val="a0"/>
    <w:link w:val="a5"/>
    <w:uiPriority w:val="99"/>
    <w:rsid w:val="00D42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柳爽</dc:creator>
  <cp:keywords/>
  <dc:description/>
  <cp:lastModifiedBy>柳爽</cp:lastModifiedBy>
  <cp:revision>19</cp:revision>
  <dcterms:created xsi:type="dcterms:W3CDTF">2019-04-03T01:17:00Z</dcterms:created>
  <dcterms:modified xsi:type="dcterms:W3CDTF">2019-04-09T08:48:00Z</dcterms:modified>
</cp:coreProperties>
</file>