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9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-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2020学年本科教学质量报告任务分解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972"/>
        <w:gridCol w:w="11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24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一级标题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二级标题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前言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学校整体情况简介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一、本科教育基本情况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（一）本科人才培养目标及服务面向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outlineLvl w:val="1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（二）本科专业设置情况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学科与科技管理处、教务处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（三）各类全日制在校生情况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 xml:space="preserve">教务处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outlineLvl w:val="1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（四）本科生源质量情况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二、师资与教学条件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（一）师资队伍建设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人事处、教师发展中心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（二）师资队伍结构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（三）教学经费投入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（四）教学设施情况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总务处、图书馆、设备与实验室管理处、信息与网络管理处、教务处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447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三、教学建设与改革</w:t>
            </w:r>
          </w:p>
        </w:tc>
        <w:tc>
          <w:tcPr>
            <w:tcW w:w="39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（一）专业建设</w:t>
            </w:r>
          </w:p>
        </w:tc>
        <w:tc>
          <w:tcPr>
            <w:tcW w:w="29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学科与科技管理处、教务处、教育教学质量评估处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（二）课程建设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（三）教材建设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（四）教学改革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（五）实践教学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（六）创新创业教育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四、质量保障体系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（一）人才培养中心地位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校长办公室、人事处、财务处、教务处、教学督导室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（二）教学质量监控体系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教务处、教学督导室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（三）教学基本状态分析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（四）专业评估与认证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教务处、教育教学质量评估处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五、学生学习效果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（一）学生学习满意度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学生处、教育教学质量评估处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（二）学生获奖情况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教务处、学生处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（三）学生体质测试达标率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（四）毕业生情况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学生处、教务处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六、特色发展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总结本科教育教学工作中的特色和经验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七、需要解决的问题</w:t>
            </w:r>
          </w:p>
        </w:tc>
        <w:tc>
          <w:tcPr>
            <w:tcW w:w="39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（一）影响教学质量的突出问题及原因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（二）解决问题的措施及建议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各单位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0731AE-6B88-45E2-B707-9965424D50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73C104D-950B-4193-AE1F-028E2872FD4A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C27C3EEC-1166-4707-A97A-9EDB01C70B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71327"/>
    <w:rsid w:val="5E3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2020-09-30T04:14:00Z</dcterms:created>
  <dc:creator>appleeggtimeqqcom</dc:creator>
  <cp:lastModifiedBy>appleeggtimeqqcom</cp:lastModifiedBy>
  <dcterms:modified xsi:type="dcterms:W3CDTF">2020-09-30T04:15:14Z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