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黑体"/>
          <w:bCs/>
          <w:sz w:val="32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32"/>
          <w:szCs w:val="36"/>
        </w:rPr>
        <w:t>2018-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6"/>
        </w:rPr>
        <w:t>2019学年本科教学质量报告任务分解</w:t>
      </w:r>
      <w:bookmarkEnd w:id="0"/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972"/>
        <w:gridCol w:w="11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44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一级标题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二级标题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前言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学校整体情况简介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一、本科教育基本情况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（一）本科人才培养目标及服务面向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outlineLvl w:val="1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（二）本科专业设置情况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学科与科技管理处、教务处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（三）各类全日制在校生情况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 xml:space="preserve">教务处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outlineLvl w:val="1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（四）本科生源质量情况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二、师资与教学条件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（一）师资队伍建设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人事处、教师发展中心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（二）师资队伍结构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（三）教学经费投入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（四）教学设施情况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总务处、图书馆、设备与实验室管理处、信息与网络管理处、教务处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三、教学建设与改革</w:t>
            </w:r>
          </w:p>
        </w:tc>
        <w:tc>
          <w:tcPr>
            <w:tcW w:w="39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（一）专业建设</w:t>
            </w:r>
          </w:p>
        </w:tc>
        <w:tc>
          <w:tcPr>
            <w:tcW w:w="29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学科与科技管理处、教务处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（二）课程建设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（三）教材建设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（四）教学改革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（五）实践教学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（六）创新创业教育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四、质量保障体系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（一）人才培养中心地位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校长办公室、人事处、财务处、教务处、教学督导室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（二）教学质量监控体系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教务处、教学督导室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（三）教学基本状态分析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（四）专业评估与认证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五、学生学习效果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（一）学生学习满意度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（二）学生获奖情况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教务处、学生处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（三）学生体质测试达标率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  <w:lang w:eastAsia="zh-CN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（四）毕业生情况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学生处、教务处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六、特色发展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总结本科教育教学工作中的特色和经验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七、需要解决的问题</w:t>
            </w:r>
          </w:p>
        </w:tc>
        <w:tc>
          <w:tcPr>
            <w:tcW w:w="39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（一）影响教学质量的突出问题及原因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</w:p>
        </w:tc>
        <w:tc>
          <w:tcPr>
            <w:tcW w:w="39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（二）解决问题的措施及建议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各单位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E34AF"/>
    <w:rsid w:val="2EB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2019-10-08T03:00:00Z</dcterms:created>
  <dc:creator>appleeggtimeqqcom</dc:creator>
  <cp:lastModifiedBy>appleeggtimeqqcom</cp:lastModifiedBy>
  <dcterms:modified xsi:type="dcterms:W3CDTF">2019-10-08T03:01:16Z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